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601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/2025, возбужденное по ст.15.5 Кодекса Российской Федерации об административных правонарушениях (далее - </w:t>
      </w:r>
      <w:r>
        <w:rPr>
          <w:rFonts w:ascii="Times New Roman" w:eastAsia="Times New Roman" w:hAnsi="Times New Roman" w:cs="Times New Roman"/>
          <w:sz w:val="26"/>
          <w:szCs w:val="26"/>
        </w:rPr>
        <w:t>КоАП РФ)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п.1 ст.419, п.7 ст.431 Налогового кодекса Российской Федерации (далее - НК РФ),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Межрайонную Инспекцию ФНС России №1 по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счел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отсутствие </w:t>
      </w: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</w:t>
      </w:r>
      <w:r>
        <w:rPr>
          <w:rFonts w:ascii="Times New Roman" w:eastAsia="Times New Roman" w:hAnsi="Times New Roman" w:cs="Times New Roman"/>
          <w:sz w:val="26"/>
          <w:szCs w:val="26"/>
        </w:rPr>
        <w:t>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предоставив её с нарушением срока </w:t>
      </w:r>
      <w:r>
        <w:rPr>
          <w:rFonts w:ascii="Times New Roman" w:eastAsia="Times New Roman" w:hAnsi="Times New Roman" w:cs="Times New Roman"/>
        </w:rPr>
        <w:t>29.07.2024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9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23.01.2025 №</w:t>
      </w:r>
      <w:r>
        <w:rPr>
          <w:rFonts w:ascii="Times New Roman" w:eastAsia="Times New Roman" w:hAnsi="Times New Roman" w:cs="Times New Roman"/>
          <w:sz w:val="26"/>
          <w:szCs w:val="26"/>
        </w:rPr>
        <w:t>86012435400014400002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Style w:val="cat-OrganizationNamegrp-24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9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7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обеспечения 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9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ОКТМО: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72011601153 01 0005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0412365400805006012515145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21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45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OrganizationNamegrp-24rplc-23">
    <w:name w:val="cat-OrganizationName grp-24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OrganizationNamegrp-24rplc-33">
    <w:name w:val="cat-OrganizationName grp-2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2779-1170-4551-B009-B9F54133D8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